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CA8" w:rsidRDefault="00640CA8" w:rsidP="00640CA8">
      <w:pPr>
        <w:jc w:val="center"/>
        <w:rPr>
          <w:b/>
          <w:sz w:val="36"/>
          <w:lang w:val="en-AU"/>
        </w:rPr>
      </w:pPr>
    </w:p>
    <w:p w:rsidR="00640CA8" w:rsidRPr="00B775E2" w:rsidRDefault="00640CA8" w:rsidP="00640CA8">
      <w:pPr>
        <w:rPr>
          <w:b/>
          <w:color w:val="006600"/>
          <w:sz w:val="72"/>
        </w:rPr>
      </w:pPr>
      <w:r w:rsidRPr="00B775E2">
        <w:rPr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09750" cy="1390650"/>
            <wp:effectExtent l="0" t="0" r="0" b="0"/>
            <wp:wrapSquare wrapText="bothSides"/>
            <wp:docPr id="1" name="Picture 1" descr="cid:5278E290-A944-42E1-8FD6-1C848C80A793@BigPo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5278E290-A944-42E1-8FD6-1C848C80A793@BigPond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>FOODcents</w:t>
      </w:r>
      <w:proofErr w:type="spellEnd"/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 xml:space="preserve"> shows us a</w:t>
      </w:r>
      <w:r w:rsidRPr="00B775E2">
        <w:rPr>
          <w:b/>
          <w:color w:val="006600"/>
          <w:sz w:val="48"/>
        </w:rPr>
        <w:t xml:space="preserve"> </w:t>
      </w:r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>new way to balance our diet and food budget.</w:t>
      </w:r>
    </w:p>
    <w:p w:rsidR="00640CA8" w:rsidRPr="00B775E2" w:rsidRDefault="00640CA8" w:rsidP="00640CA8">
      <w:pPr>
        <w:autoSpaceDE w:val="0"/>
        <w:autoSpaceDN w:val="0"/>
        <w:adjustRightInd w:val="0"/>
        <w:spacing w:after="0"/>
        <w:rPr>
          <w:rFonts w:ascii="HelveticaNeueLTStd-Md" w:hAnsi="HelveticaNeueLTStd-Md" w:cs="HelveticaNeueLTStd-Md"/>
          <w:color w:val="000000"/>
          <w:sz w:val="30"/>
          <w:szCs w:val="36"/>
        </w:rPr>
      </w:pPr>
      <w:proofErr w:type="spellStart"/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>FOODcents</w:t>
      </w:r>
      <w:proofErr w:type="spellEnd"/>
      <w:r>
        <w:rPr>
          <w:rFonts w:ascii="HelveticaNeueLTStd-Md" w:hAnsi="HelveticaNeueLTStd-Md" w:cs="HelveticaNeueLTStd-Md"/>
          <w:color w:val="000000"/>
          <w:sz w:val="30"/>
          <w:szCs w:val="36"/>
        </w:rPr>
        <w:t xml:space="preserve"> can help you</w:t>
      </w:r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 xml:space="preserve"> shop for and prepare tasty and healthy foods on a budget, which are quick and easy to make.</w:t>
      </w:r>
    </w:p>
    <w:p w:rsidR="00640CA8" w:rsidRPr="00B775E2" w:rsidRDefault="00640CA8" w:rsidP="00640CA8">
      <w:pPr>
        <w:autoSpaceDE w:val="0"/>
        <w:autoSpaceDN w:val="0"/>
        <w:adjustRightInd w:val="0"/>
        <w:spacing w:after="0"/>
        <w:rPr>
          <w:rFonts w:ascii="HelveticaNeueLTStd-Md" w:hAnsi="HelveticaNeueLTStd-Md" w:cs="HelveticaNeueLTStd-Md"/>
          <w:color w:val="000000"/>
          <w:sz w:val="30"/>
          <w:szCs w:val="36"/>
        </w:rPr>
      </w:pPr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 xml:space="preserve"> </w:t>
      </w:r>
    </w:p>
    <w:p w:rsidR="00640CA8" w:rsidRPr="00B775E2" w:rsidRDefault="00640CA8" w:rsidP="00640CA8">
      <w:pPr>
        <w:autoSpaceDE w:val="0"/>
        <w:autoSpaceDN w:val="0"/>
        <w:adjustRightInd w:val="0"/>
        <w:spacing w:after="0"/>
        <w:rPr>
          <w:rFonts w:ascii="HelveticaNeueLTStd-Md" w:hAnsi="HelveticaNeueLTStd-Md" w:cs="HelveticaNeueLTStd-Md"/>
          <w:color w:val="000000"/>
          <w:sz w:val="32"/>
          <w:szCs w:val="36"/>
        </w:rPr>
      </w:pPr>
      <w:proofErr w:type="spellStart"/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>FOODcents</w:t>
      </w:r>
      <w:proofErr w:type="spellEnd"/>
      <w:r w:rsidRPr="00B775E2">
        <w:rPr>
          <w:rFonts w:ascii="HelveticaNeueLTStd-Md" w:hAnsi="HelveticaNeueLTStd-Md" w:cs="HelveticaNeueLTStd-Md"/>
          <w:color w:val="000000"/>
          <w:sz w:val="30"/>
          <w:szCs w:val="36"/>
        </w:rPr>
        <w:t xml:space="preserve"> highlights ways to buy more food for your dollar, and shows how to get better value for your money.  It doesn’t cost more to eat good food for good health. </w:t>
      </w:r>
    </w:p>
    <w:p w:rsidR="00640CA8" w:rsidRPr="00640CA8" w:rsidRDefault="00640CA8" w:rsidP="00640CA8">
      <w:pPr>
        <w:autoSpaceDE w:val="0"/>
        <w:autoSpaceDN w:val="0"/>
        <w:adjustRightInd w:val="0"/>
        <w:spacing w:after="0"/>
        <w:rPr>
          <w:rFonts w:ascii="HelveticaNeueLTStd-Md" w:hAnsi="HelveticaNeueLTStd-Md" w:cs="HelveticaNeueLTStd-Md"/>
          <w:color w:val="000000"/>
          <w:sz w:val="32"/>
          <w:szCs w:val="36"/>
        </w:rPr>
      </w:pPr>
      <w:r w:rsidRPr="00C90A0C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198120</wp:posOffset>
            </wp:positionV>
            <wp:extent cx="1114425" cy="535305"/>
            <wp:effectExtent l="0" t="0" r="9525" b="0"/>
            <wp:wrapSquare wrapText="bothSides"/>
            <wp:docPr id="2" name="Picture 2" descr="Australian Red Cross : The Power Of Humanity">
              <a:hlinkClick xmlns:a="http://schemas.openxmlformats.org/drawingml/2006/main" r:id="rId6" tooltip="&quot;Australian Red Cross : The Power Of Human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stralian Red Cross : The Power Of Humanity">
                      <a:hlinkClick r:id="rId6" tooltip="&quot;Australian Red Cross : The Power Of Human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CA8" w:rsidRDefault="00640CA8" w:rsidP="00640CA8">
      <w:pPr>
        <w:rPr>
          <w:b/>
          <w:sz w:val="36"/>
          <w:lang w:val="en-AU"/>
        </w:rPr>
      </w:pPr>
      <w:r>
        <w:rPr>
          <w:b/>
          <w:sz w:val="36"/>
          <w:lang w:val="en-AU"/>
        </w:rPr>
        <w:fldChar w:fldCharType="begin"/>
      </w:r>
      <w:r>
        <w:rPr>
          <w:b/>
          <w:sz w:val="36"/>
          <w:lang w:val="en-AU"/>
        </w:rPr>
        <w:instrText xml:space="preserve"> HYPERLINK "http://www.foodcentsprogram.com.au/" </w:instrText>
      </w:r>
      <w:r w:rsidRPr="00640CA8">
        <w:rPr>
          <w:b/>
          <w:sz w:val="36"/>
          <w:lang w:val="en-AU"/>
        </w:rPr>
      </w:r>
      <w:r>
        <w:rPr>
          <w:b/>
          <w:sz w:val="36"/>
          <w:lang w:val="en-AU"/>
        </w:rPr>
        <w:fldChar w:fldCharType="separate"/>
      </w:r>
      <w:r w:rsidRPr="00640CA8">
        <w:rPr>
          <w:rStyle w:val="Hyperlink"/>
          <w:b/>
          <w:sz w:val="36"/>
          <w:lang w:val="en-AU"/>
        </w:rPr>
        <w:t>http://www.foodcentsprogram.com.au/</w:t>
      </w:r>
      <w:r>
        <w:rPr>
          <w:b/>
          <w:sz w:val="36"/>
          <w:lang w:val="en-AU"/>
        </w:rPr>
        <w:fldChar w:fldCharType="end"/>
      </w:r>
    </w:p>
    <w:p w:rsidR="00640CA8" w:rsidRDefault="00640CA8" w:rsidP="00640CA8">
      <w:pPr>
        <w:rPr>
          <w:b/>
          <w:sz w:val="36"/>
          <w:lang w:val="en-AU"/>
        </w:rPr>
      </w:pPr>
    </w:p>
    <w:p w:rsidR="00640CA8" w:rsidRPr="00640CA8" w:rsidRDefault="00640CA8" w:rsidP="00640CA8">
      <w:pPr>
        <w:rPr>
          <w:sz w:val="32"/>
          <w:lang w:val="en-AU"/>
        </w:rPr>
      </w:pPr>
      <w:r w:rsidRPr="00640CA8">
        <w:rPr>
          <w:sz w:val="32"/>
          <w:lang w:val="en-AU"/>
        </w:rPr>
        <w:t>Online training is free and relatively quick, you then have access to all the training resources, recipes, etc.</w:t>
      </w:r>
      <w:r>
        <w:rPr>
          <w:sz w:val="32"/>
          <w:lang w:val="en-AU"/>
        </w:rPr>
        <w:t xml:space="preserve"> </w:t>
      </w:r>
    </w:p>
    <w:p w:rsidR="00640CA8" w:rsidRDefault="00640CA8" w:rsidP="00640CA8">
      <w:pPr>
        <w:rPr>
          <w:b/>
          <w:sz w:val="36"/>
          <w:lang w:val="en-AU"/>
        </w:rPr>
      </w:pPr>
      <w:hyperlink r:id="rId8" w:history="1">
        <w:r w:rsidRPr="003249EE">
          <w:rPr>
            <w:rStyle w:val="Hyperlink"/>
            <w:b/>
            <w:sz w:val="36"/>
            <w:lang w:val="en-AU"/>
          </w:rPr>
          <w:t>http://www.foodcentsprogram.com.au/training/</w:t>
        </w:r>
      </w:hyperlink>
    </w:p>
    <w:p w:rsidR="00640CA8" w:rsidRDefault="00640CA8" w:rsidP="00640CA8">
      <w:pPr>
        <w:rPr>
          <w:b/>
          <w:sz w:val="36"/>
          <w:lang w:val="en-AU"/>
        </w:rPr>
      </w:pPr>
    </w:p>
    <w:p w:rsidR="00640CA8" w:rsidRDefault="00640CA8" w:rsidP="00640CA8">
      <w:pPr>
        <w:rPr>
          <w:b/>
          <w:sz w:val="36"/>
          <w:lang w:val="en-AU"/>
        </w:rPr>
      </w:pPr>
    </w:p>
    <w:p w:rsidR="00ED20FE" w:rsidRPr="00640CA8" w:rsidRDefault="00640CA8" w:rsidP="00640CA8">
      <w:pPr>
        <w:rPr>
          <w:b/>
          <w:sz w:val="36"/>
          <w:lang w:val="en-AU"/>
        </w:rPr>
      </w:pPr>
    </w:p>
    <w:sectPr w:rsidR="00ED20FE" w:rsidRPr="00640CA8" w:rsidSect="00ED20F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Std-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40CA8"/>
    <w:rsid w:val="00640CA8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cid:5278E290-A944-42E1-8FD6-1C848C80A793@BigPond" TargetMode="External"/><Relationship Id="rId6" Type="http://schemas.openxmlformats.org/officeDocument/2006/relationships/hyperlink" Target="http://www.redcross.org.au/default.aspx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odcentsprogram.com.au/train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Glover</dc:creator>
  <cp:keywords/>
  <cp:lastModifiedBy>Janene Glover</cp:lastModifiedBy>
  <cp:revision>1</cp:revision>
  <dcterms:created xsi:type="dcterms:W3CDTF">2014-05-03T04:48:00Z</dcterms:created>
  <dcterms:modified xsi:type="dcterms:W3CDTF">2014-05-03T04:56:00Z</dcterms:modified>
</cp:coreProperties>
</file>